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92B1" w14:textId="77777777" w:rsidR="006A3BAD" w:rsidRPr="006A3BAD" w:rsidRDefault="006A3BAD" w:rsidP="006309D7">
      <w:pPr>
        <w:jc w:val="both"/>
        <w:rPr>
          <w:b/>
          <w:bCs/>
        </w:rPr>
      </w:pPr>
      <w:r w:rsidRPr="006A3BAD">
        <w:rPr>
          <w:b/>
          <w:bCs/>
        </w:rPr>
        <w:t>Ensayo clínico ECLIPSE 2 (NCT07128550)</w:t>
      </w:r>
    </w:p>
    <w:p w14:paraId="167D2FE9" w14:textId="57FFF899" w:rsidR="006A3BAD" w:rsidRDefault="006A3BAD" w:rsidP="006309D7">
      <w:pPr>
        <w:jc w:val="both"/>
      </w:pPr>
      <w:r>
        <w:t xml:space="preserve">ECLIPSE 2 es un ensayo clínico fase 3, multicéntrico, aleatorizado y abierto que evalúa la eficacia y seguridad de la combinación de </w:t>
      </w:r>
      <w:proofErr w:type="spellStart"/>
      <w:r>
        <w:t>tobevibart</w:t>
      </w:r>
      <w:proofErr w:type="spellEnd"/>
      <w:r>
        <w:t xml:space="preserve"> (anticuerpo monoclonal) y </w:t>
      </w:r>
      <w:proofErr w:type="spellStart"/>
      <w:r>
        <w:t>elebsiran</w:t>
      </w:r>
      <w:proofErr w:type="spellEnd"/>
      <w:r>
        <w:t xml:space="preserve"> (</w:t>
      </w:r>
      <w:r w:rsidRPr="006A3BAD">
        <w:t xml:space="preserve">ARN </w:t>
      </w:r>
      <w:r w:rsidR="00F31D1F">
        <w:t>de interferencia [</w:t>
      </w:r>
      <w:proofErr w:type="spellStart"/>
      <w:r w:rsidRPr="006A3BAD">
        <w:t>siRNA</w:t>
      </w:r>
      <w:proofErr w:type="spellEnd"/>
      <w:r w:rsidR="00F31D1F">
        <w:t>]</w:t>
      </w:r>
      <w:r w:rsidRPr="006A3BAD">
        <w:t>)</w:t>
      </w:r>
      <w:r w:rsidR="00F31D1F">
        <w:t xml:space="preserve"> </w:t>
      </w:r>
      <w:r>
        <w:t>en pacientes adultos con infección crónica por el virus de la hepatitis D (</w:t>
      </w:r>
      <w:r w:rsidR="006309D7">
        <w:t>V</w:t>
      </w:r>
      <w:r>
        <w:t xml:space="preserve">HD) que no han alcanzado supresión virológica adecuada tras tratamiento previo con </w:t>
      </w:r>
      <w:proofErr w:type="spellStart"/>
      <w:r>
        <w:t>bulevirtide</w:t>
      </w:r>
      <w:proofErr w:type="spellEnd"/>
      <w:r>
        <w:t>.</w:t>
      </w:r>
    </w:p>
    <w:p w14:paraId="3306A5E7" w14:textId="2EE7F647" w:rsidR="006A3BAD" w:rsidRDefault="006A3BAD" w:rsidP="006309D7">
      <w:pPr>
        <w:jc w:val="both"/>
      </w:pPr>
      <w:r>
        <w:t xml:space="preserve">El estudio incluye aproximadamente 150 participantes con infección crónica por virus delta sin cirrosis o con cirrosis compensada (Child-Pugh A), que han recibido </w:t>
      </w:r>
      <w:proofErr w:type="spellStart"/>
      <w:r>
        <w:t>bulevirtide</w:t>
      </w:r>
      <w:proofErr w:type="spellEnd"/>
      <w:r>
        <w:t xml:space="preserve"> durante al menos 24 semanas y el </w:t>
      </w:r>
      <w:r w:rsidR="006309D7">
        <w:t>ARN VHD</w:t>
      </w:r>
      <w:r>
        <w:t xml:space="preserve"> persiste ≥500 UI/</w:t>
      </w:r>
      <w:proofErr w:type="spellStart"/>
      <w:r>
        <w:t>mL</w:t>
      </w:r>
      <w:proofErr w:type="spellEnd"/>
      <w:r w:rsidR="006309D7">
        <w:t>.</w:t>
      </w:r>
      <w:r>
        <w:t xml:space="preserve"> Los pacientes se asignan </w:t>
      </w:r>
      <w:r w:rsidR="006309D7">
        <w:t xml:space="preserve">2:1 </w:t>
      </w:r>
      <w:r>
        <w:t xml:space="preserve">a uno de </w:t>
      </w:r>
      <w:r w:rsidR="00F12D58">
        <w:t xml:space="preserve">los </w:t>
      </w:r>
      <w:r>
        <w:t>dos brazos</w:t>
      </w:r>
      <w:r w:rsidR="00F31D1F">
        <w:t xml:space="preserve"> durante 240 semanas</w:t>
      </w:r>
      <w:r>
        <w:t xml:space="preserve">: tratamiento inmediato con </w:t>
      </w:r>
      <w:proofErr w:type="spellStart"/>
      <w:r>
        <w:t>tobevibart</w:t>
      </w:r>
      <w:proofErr w:type="spellEnd"/>
      <w:r>
        <w:t xml:space="preserve"> + </w:t>
      </w:r>
      <w:proofErr w:type="spellStart"/>
      <w:r>
        <w:t>elebsiran</w:t>
      </w:r>
      <w:proofErr w:type="spellEnd"/>
      <w:r>
        <w:t xml:space="preserve">, o continuación con </w:t>
      </w:r>
      <w:proofErr w:type="spellStart"/>
      <w:r>
        <w:t>bulevirtide</w:t>
      </w:r>
      <w:proofErr w:type="spellEnd"/>
      <w:r>
        <w:t xml:space="preserve"> durante 24 semanas seguido de cambio a </w:t>
      </w:r>
      <w:proofErr w:type="spellStart"/>
      <w:r>
        <w:t>tobevibart</w:t>
      </w:r>
      <w:proofErr w:type="spellEnd"/>
      <w:r>
        <w:t xml:space="preserve"> + </w:t>
      </w:r>
      <w:proofErr w:type="spellStart"/>
      <w:r>
        <w:t>elebsiran</w:t>
      </w:r>
      <w:proofErr w:type="spellEnd"/>
      <w:r>
        <w:t>. No existe placebo.</w:t>
      </w:r>
    </w:p>
    <w:p w14:paraId="21176264" w14:textId="53F3FDA7" w:rsidR="006A3BAD" w:rsidRDefault="006A3BAD" w:rsidP="006309D7">
      <w:pPr>
        <w:jc w:val="both"/>
      </w:pPr>
      <w:r>
        <w:t>Criterios principales de inclusión</w:t>
      </w:r>
      <w:r w:rsidR="00F31D1F">
        <w:t>:</w:t>
      </w:r>
    </w:p>
    <w:p w14:paraId="19265725" w14:textId="21A17C2F" w:rsidR="006A3BAD" w:rsidRDefault="00F31D1F" w:rsidP="006309D7">
      <w:pPr>
        <w:jc w:val="both"/>
      </w:pPr>
      <w:r>
        <w:t>-</w:t>
      </w:r>
      <w:r w:rsidR="006A3BAD">
        <w:t>Edad entre 18 y 70 años.</w:t>
      </w:r>
    </w:p>
    <w:p w14:paraId="6EE9DE7C" w14:textId="4B25DBA2" w:rsidR="006A3BAD" w:rsidRDefault="00F31D1F" w:rsidP="006309D7">
      <w:pPr>
        <w:jc w:val="both"/>
      </w:pPr>
      <w:r>
        <w:t>-</w:t>
      </w:r>
      <w:r w:rsidR="006A3BAD">
        <w:t xml:space="preserve">Tratamiento concomitante eficaz frente a HBV con análogos </w:t>
      </w:r>
      <w:proofErr w:type="spellStart"/>
      <w:r w:rsidR="006A3BAD">
        <w:t>nucleós</w:t>
      </w:r>
      <w:proofErr w:type="spellEnd"/>
      <w:r w:rsidR="006A3BAD">
        <w:t>(t)idos.</w:t>
      </w:r>
    </w:p>
    <w:p w14:paraId="1D093628" w14:textId="36CF750F" w:rsidR="006A3BAD" w:rsidRDefault="00F31D1F" w:rsidP="006309D7">
      <w:pPr>
        <w:jc w:val="both"/>
      </w:pPr>
      <w:r>
        <w:t>-</w:t>
      </w:r>
      <w:r w:rsidR="006A3BAD">
        <w:t xml:space="preserve">Se permite la inclusión de personas con infección por VIH si presentan control virológico mantenido </w:t>
      </w:r>
      <w:r>
        <w:t xml:space="preserve">(PCR ARN indetectable &gt;12 meses) </w:t>
      </w:r>
      <w:r w:rsidR="006A3BAD">
        <w:t xml:space="preserve">y recuento de CD4 </w:t>
      </w:r>
      <w:r>
        <w:t>&gt;500/mm</w:t>
      </w:r>
      <w:r w:rsidRPr="00F31D1F">
        <w:rPr>
          <w:vertAlign w:val="superscript"/>
        </w:rPr>
        <w:t>3</w:t>
      </w:r>
      <w:r w:rsidR="006A3BAD">
        <w:t>.</w:t>
      </w:r>
    </w:p>
    <w:p w14:paraId="056F60CB" w14:textId="13DFC741" w:rsidR="006A3BAD" w:rsidRDefault="006A3BAD" w:rsidP="006309D7">
      <w:pPr>
        <w:jc w:val="both"/>
      </w:pPr>
      <w:r>
        <w:t>Principales criterios de exclusión</w:t>
      </w:r>
      <w:r w:rsidR="00F12D58">
        <w:t>:</w:t>
      </w:r>
    </w:p>
    <w:p w14:paraId="1CE1116F" w14:textId="37042876" w:rsidR="006A3BAD" w:rsidRDefault="006309D7" w:rsidP="006309D7">
      <w:pPr>
        <w:jc w:val="both"/>
      </w:pPr>
      <w:r>
        <w:t>-</w:t>
      </w:r>
      <w:r w:rsidR="006A3BAD">
        <w:t>Cirrosis descompensada o antecedentes de descompensación hepática.</w:t>
      </w:r>
    </w:p>
    <w:p w14:paraId="01667FF5" w14:textId="3590FA27" w:rsidR="006A3BAD" w:rsidRDefault="006309D7" w:rsidP="006309D7">
      <w:pPr>
        <w:jc w:val="both"/>
      </w:pPr>
      <w:r>
        <w:t>-</w:t>
      </w:r>
      <w:r w:rsidR="006A3BAD">
        <w:t>Elevaciones de ALT (&gt;5 × LSN).</w:t>
      </w:r>
    </w:p>
    <w:p w14:paraId="5447890F" w14:textId="15D9885B" w:rsidR="006A3BAD" w:rsidRDefault="006309D7" w:rsidP="006309D7">
      <w:pPr>
        <w:jc w:val="both"/>
      </w:pPr>
      <w:r>
        <w:t>-</w:t>
      </w:r>
      <w:r w:rsidR="006A3BAD">
        <w:t>Uso reciente de inmunomoduladores, inmunosupresores, quimioterapia u otros antivirales en investigación.</w:t>
      </w:r>
    </w:p>
    <w:p w14:paraId="5761E0FC" w14:textId="5550CAE6" w:rsidR="006A3BAD" w:rsidRDefault="006309D7" w:rsidP="006309D7">
      <w:pPr>
        <w:jc w:val="both"/>
      </w:pPr>
      <w:r>
        <w:t>-</w:t>
      </w:r>
      <w:r w:rsidR="006A3BAD">
        <w:t>Enfermedades autoinmunes activas o comorbilidades médicas o psiquiátricas graves que puedan interferir con el estudio.</w:t>
      </w:r>
    </w:p>
    <w:p w14:paraId="6101155C" w14:textId="70BD2A84" w:rsidR="006A3BAD" w:rsidRDefault="006A3BAD" w:rsidP="006309D7">
      <w:pPr>
        <w:jc w:val="both"/>
      </w:pPr>
      <w:r>
        <w:t>El objetivo primario del estudio es evaluar la respuesta antiviral (</w:t>
      </w:r>
      <w:r w:rsidR="00F12D58">
        <w:t xml:space="preserve">ARN VHD </w:t>
      </w:r>
      <w:r>
        <w:t>indetectable), así como la durabilidad de la respuesta virológica tras la suspensión del tratamiento. Entre los objetivos secundarios se incluyen parámetros bioquímicos, seguridad y tolerabilidad.</w:t>
      </w:r>
    </w:p>
    <w:p w14:paraId="00F587E6" w14:textId="47C6714F" w:rsidR="0087588D" w:rsidRDefault="006A3BAD" w:rsidP="006309D7">
      <w:pPr>
        <w:jc w:val="both"/>
      </w:pPr>
      <w:r>
        <w:t>ECLIPSE 2 se apoya en los resultados de estudios previos de fase 2, especialmente el ensayo SOLSTICE, cuyos resultados han sido publicados</w:t>
      </w:r>
      <w:r w:rsidR="006309D7">
        <w:t xml:space="preserve"> </w:t>
      </w:r>
      <w:r w:rsidR="006309D7" w:rsidRPr="006309D7">
        <w:t>(</w:t>
      </w:r>
      <w:proofErr w:type="spellStart"/>
      <w:r w:rsidR="006309D7" w:rsidRPr="006309D7">
        <w:t>Asselah</w:t>
      </w:r>
      <w:proofErr w:type="spellEnd"/>
      <w:r w:rsidR="006309D7" w:rsidRPr="006309D7">
        <w:t xml:space="preserve"> T et al, N</w:t>
      </w:r>
      <w:r w:rsidR="006309D7">
        <w:t xml:space="preserve"> Eng J </w:t>
      </w:r>
      <w:proofErr w:type="spellStart"/>
      <w:r w:rsidR="006309D7">
        <w:t>Med</w:t>
      </w:r>
      <w:proofErr w:type="spellEnd"/>
      <w:r w:rsidR="006309D7">
        <w:t xml:space="preserve"> </w:t>
      </w:r>
      <w:r w:rsidR="006309D7" w:rsidRPr="006309D7">
        <w:t>2025)</w:t>
      </w:r>
      <w:r w:rsidR="00F12D58">
        <w:t>.</w:t>
      </w:r>
      <w:r>
        <w:t xml:space="preserve"> En este estudio, la combinación de </w:t>
      </w:r>
      <w:proofErr w:type="spellStart"/>
      <w:r>
        <w:t>tobevibart</w:t>
      </w:r>
      <w:proofErr w:type="spellEnd"/>
      <w:r>
        <w:t xml:space="preserve"> y </w:t>
      </w:r>
      <w:proofErr w:type="spellStart"/>
      <w:r>
        <w:t>elebsiran</w:t>
      </w:r>
      <w:proofErr w:type="spellEnd"/>
      <w:r>
        <w:t xml:space="preserve"> demostró altas tasas de supresión profunda de </w:t>
      </w:r>
      <w:r w:rsidR="00F12D58">
        <w:t>ARN VHD</w:t>
      </w:r>
      <w:r>
        <w:t>, reducciones significativas de HBsAg, respuestas sostenidas hasta la semana 48 y un perfil de seguridad favorable, incluyendo pacientes con cirrosis compensada</w:t>
      </w:r>
      <w:r w:rsidR="006309D7">
        <w:t>.</w:t>
      </w:r>
    </w:p>
    <w:p w14:paraId="5053172F" w14:textId="50D2CB62" w:rsidR="006309D7" w:rsidRDefault="006309D7" w:rsidP="006309D7">
      <w:pPr>
        <w:jc w:val="both"/>
      </w:pPr>
      <w:r>
        <w:lastRenderedPageBreak/>
        <w:t xml:space="preserve">El </w:t>
      </w:r>
      <w:r w:rsidR="00F12D58">
        <w:t>ensayo clínico</w:t>
      </w:r>
      <w:r>
        <w:t xml:space="preserve"> se lleva a cabo en Hepatología de La Paz y Gregorio Marañón de Madrid, </w:t>
      </w:r>
      <w:r w:rsidRPr="006309D7">
        <w:t>Policlínico de Valencia, Valle de Hebrón y Clínic</w:t>
      </w:r>
      <w:r>
        <w:t>o</w:t>
      </w:r>
      <w:r w:rsidRPr="006309D7">
        <w:t xml:space="preserve"> de Barcelona, Valdecilla de Santander</w:t>
      </w:r>
      <w:r>
        <w:t>.</w:t>
      </w:r>
    </w:p>
    <w:sectPr w:rsidR="00630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8D"/>
    <w:rsid w:val="00001D94"/>
    <w:rsid w:val="003925B7"/>
    <w:rsid w:val="006309D7"/>
    <w:rsid w:val="006A3BAD"/>
    <w:rsid w:val="0087588D"/>
    <w:rsid w:val="00C40A4F"/>
    <w:rsid w:val="00F12D58"/>
    <w:rsid w:val="00F3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4C76C"/>
  <w15:chartTrackingRefBased/>
  <w15:docId w15:val="{AF406A2A-0119-4FC9-A4B8-73C11EE9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Olveira</dc:creator>
  <cp:keywords/>
  <dc:description/>
  <cp:lastModifiedBy>Nacho Bernardino</cp:lastModifiedBy>
  <cp:revision>2</cp:revision>
  <dcterms:created xsi:type="dcterms:W3CDTF">2026-02-08T17:34:00Z</dcterms:created>
  <dcterms:modified xsi:type="dcterms:W3CDTF">2026-02-08T17:34:00Z</dcterms:modified>
</cp:coreProperties>
</file>